
<file path=[Content_Types].xml><?xml version="1.0" encoding="utf-8"?>
<Types xmlns="http://schemas.openxmlformats.org/package/2006/content-types">
  <Override PartName="/docProps/core.xml" ContentType="application/vnd.openxmlformats-package.core-properties+xml"/>
  <Override PartName="/word/settings.xml" ContentType="application/vnd.openxmlformats-officedocument.wordprocessingml.settings+xml"/>
  <Default Extension="xml" ContentType="application/xml"/>
  <Override PartName="/word/footer1.xml" ContentType="application/vnd.openxmlformats-officedocument.wordprocessingml.footer+xml"/>
  <Override PartName="/word/document.xml" ContentType="application/vnd.openxmlformats-officedocument.wordprocessingml.document.main+xml"/>
  <Override PartName="/docProps/app.xml" ContentType="application/vnd.openxmlformats-officedocument.extended-properties+xml"/>
  <Override PartName="/word/fontTable.xml" ContentType="application/vnd.openxmlformats-officedocument.wordprocessingml.fontTable+xml"/>
  <Default Extension="rels" ContentType="application/vnd.openxmlformats-package.relationships+xml"/>
  <Override PartName="/word/footnotes.xml" ContentType="application/vnd.openxmlformats-officedocument.wordprocessingml.footnotes+xml"/>
  <Override PartName="/word/styles.xml" ContentType="application/vnd.openxmlformats-officedocument.wordprocessingml.styles+xml"/>
  <Override PartName="/word/webSettings.xml" ContentType="application/vnd.openxmlformats-officedocument.wordprocessingml.webSettings+xml"/>
  <Override PartName="/word/header1.xml" ContentType="application/vnd.openxmlformats-officedocument.wordprocessingml.header+xml"/>
  <Override PartName="/word/theme/theme1.xml" ContentType="application/vnd.openxmlformats-officedocument.theme+xml"/>
  <Override PartName="/word/footer2.xml" ContentType="application/vnd.openxmlformats-officedocument.wordprocessingml.footer+xml"/>
  <Default Extension="jpeg" ContentType="image/jpeg"/>
</Types>
</file>

<file path=_rels/.rels><?xml version="1.0" encoding="UTF-8" standalone="yes"?>
<Relationships xmlns="http://schemas.openxmlformats.org/package/2006/relationships"><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 Id="rId3" Type="http://schemas.openxmlformats.org/package/2006/relationships/metadata/core-properties" Target="docProps/core.xml"/></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47810" w:rsidRDefault="00D56FEA" w:rsidP="00D56FEA">
      <w:pPr>
        <w:spacing w:line="480" w:lineRule="auto"/>
      </w:pPr>
      <w:r>
        <w:tab/>
        <w:t>The work of a 21</w:t>
      </w:r>
      <w:r w:rsidRPr="00D56FEA">
        <w:rPr>
          <w:vertAlign w:val="superscript"/>
        </w:rPr>
        <w:t>st</w:t>
      </w:r>
      <w:r>
        <w:t xml:space="preserve"> century arts presenter is a battle.  There are fights for institutional grants, fights with a population that does not mind spending £3 on a latte but wants its music for free.</w:t>
      </w:r>
      <w:r>
        <w:rPr>
          <w:rStyle w:val="FootnoteReference"/>
        </w:rPr>
        <w:footnoteReference w:id="-1"/>
      </w:r>
      <w:r>
        <w:t xml:space="preserve">  And even if the presenter is able to get bodies in the concert hall or art gallery, the battle continues.  “My kid could do that,” resounds at an exhibition of abstract expressionist masters at the Museum of Modern Art in New York.  “</w:t>
      </w:r>
      <w:r w:rsidR="002D4DFC">
        <w:t>I didn’t get</w:t>
      </w:r>
      <w:r w:rsidR="0006760A">
        <w:t xml:space="preserve"> it,” fills the lobby at Alice Tully Hall just across town after a concert of music by Edgard Varese.</w:t>
      </w:r>
      <w:r w:rsidR="002D4DFC">
        <w:t xml:space="preserve">  The critics may have liked the shows for the ambitious programming and new insights, but to the other audience members who quizzically read the review the next day, these critics seem to have a special knowledge and expertise that allows them to understand the difficult artwork.</w:t>
      </w:r>
      <w:r w:rsidR="006E6ABC">
        <w:t xml:space="preserve">  The reviews become easy to ignore and the cycle continues,</w:t>
      </w:r>
      <w:r w:rsidR="000837C8">
        <w:t xml:space="preserve"> with</w:t>
      </w:r>
      <w:r w:rsidR="00D97128">
        <w:t xml:space="preserve"> the presenters trying even </w:t>
      </w:r>
      <w:r w:rsidR="006E6ABC">
        <w:t>harder to convince former su</w:t>
      </w:r>
      <w:r w:rsidR="005B3BCB">
        <w:t>bscribers that this modern art</w:t>
      </w:r>
      <w:r w:rsidR="006E6ABC">
        <w:t xml:space="preserve"> is worth</w:t>
      </w:r>
      <w:r w:rsidR="005B3BCB">
        <w:t xml:space="preserve"> seeing and</w:t>
      </w:r>
      <w:r w:rsidR="006E6ABC">
        <w:t xml:space="preserve"> hearing.</w:t>
      </w:r>
    </w:p>
    <w:p w:rsidR="006E6ABC" w:rsidRDefault="006E6ABC" w:rsidP="00D56FEA">
      <w:pPr>
        <w:spacing w:line="480" w:lineRule="auto"/>
      </w:pPr>
    </w:p>
    <w:p w:rsidR="00447810" w:rsidRDefault="006E6ABC" w:rsidP="00D56FEA">
      <w:pPr>
        <w:spacing w:line="480" w:lineRule="auto"/>
      </w:pPr>
      <w:r>
        <w:tab/>
        <w:t>When American listeners were turned off by the new pieces they were hearing at symphony orchestra concerts in the 1950s, the response of serialist composer Milton Babbit was “Who cares if you listen?”</w:t>
      </w:r>
      <w:r>
        <w:rPr>
          <w:rStyle w:val="FootnoteReference"/>
        </w:rPr>
        <w:footnoteReference w:id="0"/>
      </w:r>
      <w:r>
        <w:t xml:space="preserve"> Rather than taken aback by their lack of appeal, Babbit and his peers seemed to relish in their music’s complexity and obtrusiveness.  </w:t>
      </w:r>
      <w:r w:rsidR="00CD1EC3">
        <w:t>Total-serialist music was more about the pure and impersonal compositional process than loosey-goosey expressionism anyway.  However, what this movement did was create a cult of inaccessibility in the world of avant-garde classical music that had a profound impact on how audiences listened to and interacted with new works.  In order to understand the music, in the minds of the composer</w:t>
      </w:r>
      <w:r w:rsidR="000837C8">
        <w:t>s</w:t>
      </w:r>
      <w:r w:rsidR="00CD1EC3">
        <w:t xml:space="preserve">, you had to understand the processes going on, whether they were retrograde inversions of tone rows or </w:t>
      </w:r>
      <w:r w:rsidR="008B1A19">
        <w:t>the simpler rhythmic permutations in the music of Steve Reich.</w:t>
      </w:r>
      <w:r w:rsidR="008B1A19">
        <w:rPr>
          <w:rStyle w:val="FootnoteReference"/>
        </w:rPr>
        <w:footnoteReference w:id="1"/>
      </w:r>
      <w:r w:rsidR="008B1A19">
        <w:t xml:space="preserve"> Most of the time, this kind of listening made the music unapproachable to an</w:t>
      </w:r>
      <w:r w:rsidR="00D97128">
        <w:t>yone other than fellow musicians</w:t>
      </w:r>
      <w:r w:rsidR="008B1A19">
        <w:t xml:space="preserve"> and help</w:t>
      </w:r>
      <w:r w:rsidR="00BE2874">
        <w:t>ed</w:t>
      </w:r>
      <w:r w:rsidR="008B1A19">
        <w:t xml:space="preserve"> </w:t>
      </w:r>
      <w:r w:rsidR="004F7AB2">
        <w:t>propagate a deadly conception of what makes a good piece of music and</w:t>
      </w:r>
      <w:r w:rsidR="008B1A19">
        <w:t xml:space="preserve"> what it really mean</w:t>
      </w:r>
      <w:r w:rsidR="004F7AB2">
        <w:t>s to understand it</w:t>
      </w:r>
      <w:r w:rsidR="008B1A19">
        <w:t>.</w:t>
      </w:r>
      <w:r w:rsidR="004F7AB2">
        <w:t xml:space="preserve">  A good piece of music is not the one with the most ingenious process, but as according to Roger Scruton, is great </w:t>
      </w:r>
      <w:r w:rsidR="004F7AB2">
        <w:rPr>
          <w:i/>
        </w:rPr>
        <w:t>despite</w:t>
      </w:r>
      <w:r w:rsidR="004F7AB2">
        <w:t xml:space="preserve"> the process</w:t>
      </w:r>
      <w:r w:rsidR="000837C8">
        <w:t>, suggesting its meaning is not arcane and difficult to parse for a layperson</w:t>
      </w:r>
      <w:r w:rsidR="004F7AB2">
        <w:t>.</w:t>
      </w:r>
      <w:r w:rsidR="004F7AB2">
        <w:rPr>
          <w:rStyle w:val="FootnoteReference"/>
        </w:rPr>
        <w:footnoteReference w:id="2"/>
      </w:r>
      <w:r w:rsidR="008B1A19">
        <w:t xml:space="preserve">  In actuality, the critic at the New York Varese concert knows only as much about the formal processes in the music as the novice sitting next to him or her.  The significant difference in understanding the music has as much to do with the particular </w:t>
      </w:r>
      <w:r w:rsidR="008B1A19">
        <w:rPr>
          <w:i/>
        </w:rPr>
        <w:t>kind</w:t>
      </w:r>
      <w:r w:rsidR="008B1A19">
        <w:t xml:space="preserve"> of listening </w:t>
      </w:r>
      <w:r w:rsidR="008B4715">
        <w:t>carried out by the critic and the novice as the particular facets of the music itself.</w:t>
      </w:r>
    </w:p>
    <w:p w:rsidR="002A376E" w:rsidRDefault="002A376E" w:rsidP="00D56FEA">
      <w:pPr>
        <w:spacing w:line="480" w:lineRule="auto"/>
      </w:pPr>
    </w:p>
    <w:p w:rsidR="00447810" w:rsidRDefault="002A376E" w:rsidP="00D56FEA">
      <w:pPr>
        <w:spacing w:line="480" w:lineRule="auto"/>
      </w:pPr>
      <w:r>
        <w:tab/>
      </w:r>
      <w:r w:rsidR="008B1A19">
        <w:t xml:space="preserve"> </w:t>
      </w:r>
      <w:r w:rsidR="00CB4524">
        <w:t xml:space="preserve">In order to determine what it means to </w:t>
      </w:r>
      <w:r w:rsidR="00401161">
        <w:t>understand a piece of music, one must start in figuring out what music actually communicates.</w:t>
      </w:r>
      <w:r w:rsidR="00596AA7">
        <w:t xml:space="preserve">  Firstly, music can communicate itself, or more precisely, a group of people (or increasingly a machine) can transmit a piece of music to an audience.  On its most basic level, music is a series of sounds unfolding over time</w:t>
      </w:r>
      <w:r w:rsidR="000A62EA">
        <w:t>, and so the music communicates its own particular series of events.  Therefore to understand the piece, one would simply need to know the sequence of events and be able to duplicate it – this view of music is inherently self-reflexive.  That is much easier said than done, and is ultimately at odds with the history of musical performance.  If an audience must understand a piece to enjoy it, and of course a musician will only continue to work if the audience enjoys his or her music and returns to hear it again, then the musical audience would solely consist of other musicians who would understand and enjoy the piece for its own sake.  This certainly does not sound like a sustainable business model for music and also poses an origins problem.  If musical understanding consisted solely of technical understanding of the sequence of events, then the first piece of music performed in history would not be understood</w:t>
      </w:r>
      <w:r w:rsidR="008434B3">
        <w:t xml:space="preserve"> by anyone who heard it, and dismissed as noise.  Herein lies the major problem of the self-reflexive theory of musical meaning.  If music is only capable of expressing itself, as suggested by the composer Igor Stravinsky,</w:t>
      </w:r>
      <w:r w:rsidR="008434B3">
        <w:rPr>
          <w:rStyle w:val="FootnoteReference"/>
        </w:rPr>
        <w:footnoteReference w:id="3"/>
      </w:r>
      <w:r w:rsidR="008434B3">
        <w:t xml:space="preserve"> then it gets reduced to mere noise, which is also just as good at expressing itself.  From here, one must decide whether there is no such thing as music apart from noise, or if there is something peculiar about music that allows it to express something, such as a thought or an emotion, beyond its combination of sounds.</w:t>
      </w:r>
    </w:p>
    <w:p w:rsidR="00C41AC1" w:rsidRDefault="00C41AC1" w:rsidP="00D56FEA">
      <w:pPr>
        <w:spacing w:line="480" w:lineRule="auto"/>
      </w:pPr>
    </w:p>
    <w:p w:rsidR="00447810" w:rsidRDefault="00C41AC1" w:rsidP="00D56FEA">
      <w:pPr>
        <w:spacing w:line="480" w:lineRule="auto"/>
      </w:pPr>
      <w:r>
        <w:tab/>
        <w:t>Considering how much time and energy humans have devoted to making music, it would be a shame to think that it only held the value of noise</w:t>
      </w:r>
      <w:r w:rsidR="004C05FD">
        <w:t>.  In light of that, we will proceed with the base assumption that music does express something beyond itself and that it is possible for a hearing-equipped human to understand that expression.  With this assumption in hand, we travel to Los Angeles</w:t>
      </w:r>
      <w:r w:rsidR="00445B8E">
        <w:t>,</w:t>
      </w:r>
      <w:r w:rsidR="004C05FD">
        <w:t xml:space="preserve"> California in October 2009 to hear the Los Angeles Philharmonic’s first concert of the season, featuring a new piece by the esteemed American composer John Adams called “City Noir.”</w:t>
      </w:r>
      <w:r w:rsidR="00070A35">
        <w:rPr>
          <w:rStyle w:val="FootnoteReference"/>
        </w:rPr>
        <w:footnoteReference w:id="4"/>
      </w:r>
      <w:r w:rsidR="004C05FD">
        <w:t xml:space="preserve">  </w:t>
      </w:r>
      <w:r w:rsidR="00BB7A23">
        <w:t>We take our seats in the concert hall behind two elderly men.  They have apparently been friends for a long time and have been going to philharmonic concerts together for years.</w:t>
      </w:r>
      <w:r w:rsidR="00070A35">
        <w:t xml:space="preserve">  After the perform</w:t>
      </w:r>
      <w:r w:rsidR="00D97128">
        <w:t>ance of the Adams piece</w:t>
      </w:r>
      <w:r w:rsidR="00070A35">
        <w:t xml:space="preserve">, we follow the two men out of the hall and queue up for an interval drink.  While waiting, the two </w:t>
      </w:r>
      <w:r w:rsidR="00747C75">
        <w:t>converse about the piece.</w:t>
      </w:r>
    </w:p>
    <w:p w:rsidR="00393397" w:rsidRDefault="00393397" w:rsidP="00D56FEA">
      <w:pPr>
        <w:spacing w:line="480" w:lineRule="auto"/>
      </w:pPr>
    </w:p>
    <w:p w:rsidR="00447810" w:rsidRDefault="00393397" w:rsidP="00D56FEA">
      <w:pPr>
        <w:spacing w:line="480" w:lineRule="auto"/>
      </w:pPr>
      <w:r>
        <w:tab/>
        <w:t xml:space="preserve">“I really felt the piece was a spot-on portrait of 1950s Los Angeles,” the first man said. “In the last movement, during the trumpet solo, I could see a private eye, alone on a dark street.  </w:t>
      </w:r>
      <w:r w:rsidR="00683743">
        <w:t>When the percussion came in, he</w:t>
      </w:r>
      <w:r>
        <w:t xml:space="preserve"> jumped in his car to chase after some criminal.”</w:t>
      </w:r>
    </w:p>
    <w:p w:rsidR="00393397" w:rsidRDefault="00393397" w:rsidP="00D56FEA">
      <w:pPr>
        <w:spacing w:line="480" w:lineRule="auto"/>
      </w:pPr>
    </w:p>
    <w:p w:rsidR="00447810" w:rsidRDefault="00393397" w:rsidP="00D56FEA">
      <w:pPr>
        <w:spacing w:line="480" w:lineRule="auto"/>
      </w:pPr>
      <w:r>
        <w:tab/>
        <w:t xml:space="preserve">“Really?” the other man replied.  “I felt </w:t>
      </w:r>
      <w:r w:rsidR="00CA0B7A">
        <w:t>that it could have a sequel to ‘My Father Knew Charles Ives,’ if under a different name.  The celeste parts there were like falling snowflakes, and that trumpet solo sounded like a lone fox in the woods.  And that section with the percussion felt more like an avalanche.  All very wintry New England.”</w:t>
      </w:r>
    </w:p>
    <w:p w:rsidR="00CA0B7A" w:rsidRDefault="00CA0B7A" w:rsidP="00D56FEA">
      <w:pPr>
        <w:spacing w:line="480" w:lineRule="auto"/>
      </w:pPr>
    </w:p>
    <w:p w:rsidR="00447810" w:rsidRDefault="00CA0B7A" w:rsidP="00D56FEA">
      <w:pPr>
        <w:spacing w:line="480" w:lineRule="auto"/>
      </w:pPr>
      <w:r>
        <w:tab/>
        <w:t>“Huh, I’d never think of it like that.  Either way, it sure did feel like Adams was trying to channel the sound of old film scores.”</w:t>
      </w:r>
    </w:p>
    <w:p w:rsidR="00CA0B7A" w:rsidRDefault="00CA0B7A" w:rsidP="00D56FEA">
      <w:pPr>
        <w:spacing w:line="480" w:lineRule="auto"/>
      </w:pPr>
    </w:p>
    <w:p w:rsidR="00447810" w:rsidRDefault="00CA0B7A" w:rsidP="00D56FEA">
      <w:pPr>
        <w:spacing w:line="480" w:lineRule="auto"/>
      </w:pPr>
      <w:r>
        <w:tab/>
        <w:t>“Yes, the orchestration was quite syrupy.”</w:t>
      </w:r>
    </w:p>
    <w:p w:rsidR="00CA0B7A" w:rsidRDefault="00CA0B7A" w:rsidP="00D56FEA">
      <w:pPr>
        <w:spacing w:line="480" w:lineRule="auto"/>
      </w:pPr>
    </w:p>
    <w:p w:rsidR="00447810" w:rsidRDefault="00CA0B7A" w:rsidP="00D56FEA">
      <w:pPr>
        <w:spacing w:line="480" w:lineRule="auto"/>
      </w:pPr>
      <w:r>
        <w:tab/>
        <w:t>Despite hearing the same piece, these two men came away with two different interpretations, two sets of images</w:t>
      </w:r>
      <w:r w:rsidR="00AC38AC">
        <w:t>, two understandings.  While the first man’s interpretation may be closer to depicting the images that inspired Adams when writing it,</w:t>
      </w:r>
      <w:r w:rsidR="00AC38AC">
        <w:rPr>
          <w:rStyle w:val="FootnoteReference"/>
        </w:rPr>
        <w:footnoteReference w:id="5"/>
      </w:r>
      <w:r w:rsidR="00AC38AC">
        <w:t xml:space="preserve"> the second man certainly did not </w:t>
      </w:r>
      <w:r w:rsidR="00AC38AC">
        <w:rPr>
          <w:i/>
        </w:rPr>
        <w:t>mis</w:t>
      </w:r>
      <w:r w:rsidR="00AC38AC">
        <w:t xml:space="preserve">-understand the piece.  In fact, </w:t>
      </w:r>
      <w:r w:rsidR="00683743">
        <w:t>the differing interpretat</w:t>
      </w:r>
      <w:r w:rsidR="00E211F6">
        <w:t xml:space="preserve">ions are more similar on </w:t>
      </w:r>
      <w:r w:rsidR="00683743">
        <w:t>examination.  Both reference the same points in the music – the trumpet solo and the groovy, percussion-heavy finale.  Both sets of images have a similar basic emotional underpinning.  The trumpet solo reflects a sense of isolation and loneliness, while the insistent pulse of the finale suggests moving bodies and a sense of inevitability.  In this case, Adams’ music seems to communicate some very basic concepts and emotions, while the listeners take those bits of information and use their imagination to arbitrarily add a story or images to them</w:t>
      </w:r>
      <w:r w:rsidR="00E17B6C">
        <w:t>.  Both listeners understood the piece, but their understandings were colored by preexisting biases and</w:t>
      </w:r>
      <w:r w:rsidR="00E211F6">
        <w:t xml:space="preserve"> particular</w:t>
      </w:r>
      <w:r w:rsidR="00E17B6C">
        <w:t xml:space="preserve"> sonic associations.</w:t>
      </w:r>
    </w:p>
    <w:p w:rsidR="00E17B6C" w:rsidRDefault="00E17B6C" w:rsidP="00D56FEA">
      <w:pPr>
        <w:spacing w:line="480" w:lineRule="auto"/>
      </w:pPr>
    </w:p>
    <w:p w:rsidR="00447810" w:rsidRDefault="00E17B6C" w:rsidP="00D56FEA">
      <w:pPr>
        <w:spacing w:line="480" w:lineRule="auto"/>
      </w:pPr>
      <w:r>
        <w:tab/>
      </w:r>
      <w:r w:rsidR="00011122">
        <w:t xml:space="preserve">This example is narrow in that it deals with two characters that are familiar with the kind of music they are listening to, and in one case, the previous work of the composer.  Would a listener who had never heard an orchestra in his or her life, let alone the music of John Adams, have the same basic emotional understanding of </w:t>
      </w:r>
      <w:r w:rsidR="00AF4A28">
        <w:t>“</w:t>
      </w:r>
      <w:r w:rsidR="00011122" w:rsidRPr="00AF4A28">
        <w:t>City Noir</w:t>
      </w:r>
      <w:r w:rsidR="00011122">
        <w:t>?</w:t>
      </w:r>
      <w:r w:rsidR="00AF4A28">
        <w:t>”</w:t>
      </w:r>
      <w:r w:rsidR="00011122">
        <w:t xml:space="preserve">  </w:t>
      </w:r>
      <w:r w:rsidR="00E757FC">
        <w:t>After the s</w:t>
      </w:r>
      <w:r w:rsidR="00D97128">
        <w:t>hock of seeing so many people</w:t>
      </w:r>
      <w:r w:rsidR="00E757FC">
        <w:t xml:space="preserve"> with weird apparati on one stage wore off, this listener would at least be able to grasp the strongest basic emotions in the piece.  In psychological experiments, humans have proved adept at recognizing moods in a particular piece of music from outside traditions they are familiar with.  For example, untrained </w:t>
      </w:r>
      <w:r w:rsidR="00BC0CB8">
        <w:t>western listeners were</w:t>
      </w:r>
      <w:r w:rsidR="00E757FC">
        <w:t xml:space="preserve"> able to correctly articulate the mood associated with an Indian rag just by the sound.</w:t>
      </w:r>
      <w:r w:rsidR="00E757FC">
        <w:rPr>
          <w:rStyle w:val="FootnoteReference"/>
        </w:rPr>
        <w:footnoteReference w:id="6"/>
      </w:r>
      <w:r w:rsidR="00E757FC">
        <w:t xml:space="preserve"> Non-western peoples faired similarly well in recognizing emotions in western pieces.</w:t>
      </w:r>
      <w:r w:rsidR="00E757FC">
        <w:rPr>
          <w:rStyle w:val="FootnoteReference"/>
        </w:rPr>
        <w:footnoteReference w:id="7"/>
      </w:r>
      <w:r w:rsidR="00E757FC">
        <w:t xml:space="preserve"> Beyond recognition, diverse peoples also use similar expressive devices in their music.  In Alex Ross’s new history of the descending </w:t>
      </w:r>
      <w:r w:rsidR="00E757FC">
        <w:rPr>
          <w:i/>
        </w:rPr>
        <w:t>basso lamento</w:t>
      </w:r>
      <w:r w:rsidR="00E757FC">
        <w:t xml:space="preserve"> pattern, he</w:t>
      </w:r>
      <w:r w:rsidR="00986EE0">
        <w:t xml:space="preserve"> shows how the musical figure featuring a melody descending step-wise to perfect fourth below the original note crops up in western classical music, Hungarian folk music, and Delta Blues, among others,</w:t>
      </w:r>
      <w:r w:rsidR="00BC0CB8">
        <w:t xml:space="preserve"> and in almost all cases signifies</w:t>
      </w:r>
      <w:r w:rsidR="00986EE0">
        <w:t xml:space="preserve"> a feeling of lament.</w:t>
      </w:r>
      <w:r w:rsidR="00986EE0">
        <w:rPr>
          <w:rStyle w:val="FootnoteReference"/>
        </w:rPr>
        <w:footnoteReference w:id="8"/>
      </w:r>
      <w:r w:rsidR="001A4766">
        <w:t xml:space="preserve"> </w:t>
      </w:r>
    </w:p>
    <w:p w:rsidR="001A4766" w:rsidRDefault="001A4766" w:rsidP="00D56FEA">
      <w:pPr>
        <w:spacing w:line="480" w:lineRule="auto"/>
      </w:pPr>
    </w:p>
    <w:p w:rsidR="00447810" w:rsidRDefault="001A4766" w:rsidP="001A4766">
      <w:pPr>
        <w:spacing w:line="480" w:lineRule="auto"/>
        <w:ind w:firstLine="720"/>
      </w:pPr>
      <w:r>
        <w:t xml:space="preserve">All of these findings suggest an apparatus for shared musical understanding, but do not articulate how this apparatus works.  The philosopher Peter Kivy has a workable suggestion in which humans are able to recognize </w:t>
      </w:r>
      <w:r>
        <w:rPr>
          <w:i/>
        </w:rPr>
        <w:t>contours</w:t>
      </w:r>
      <w:r>
        <w:t xml:space="preserve"> and </w:t>
      </w:r>
      <w:r w:rsidR="000A5D46">
        <w:rPr>
          <w:i/>
        </w:rPr>
        <w:t>conventions</w:t>
      </w:r>
      <w:r>
        <w:t xml:space="preserve"> in music.</w:t>
      </w:r>
      <w:r w:rsidR="000A2F44">
        <w:rPr>
          <w:rStyle w:val="FootnoteReference"/>
        </w:rPr>
        <w:footnoteReference w:id="9"/>
      </w:r>
      <w:r w:rsidR="00795651">
        <w:t xml:space="preserve"> Contours are </w:t>
      </w:r>
      <w:r w:rsidR="0062307E">
        <w:t xml:space="preserve">musical features or events that bare a similarity to human </w:t>
      </w:r>
      <w:r w:rsidR="00AF4A28">
        <w:t>emotional features – a piece of music is sad because it resembles a sad person</w:t>
      </w:r>
      <w:r w:rsidR="0062307E">
        <w:t>.</w:t>
      </w:r>
      <w:r w:rsidR="000A5D46">
        <w:t xml:space="preserve">  Conventions</w:t>
      </w:r>
      <w:r w:rsidR="00AF4A28">
        <w:t>, on the other hand, are musical features that over time in a particular tradition have come to be associated with certain emotions and require meta</w:t>
      </w:r>
      <w:r w:rsidR="00D97128">
        <w:t>phorical cognitive transfer;</w:t>
      </w:r>
      <w:r w:rsidR="00AF4A28">
        <w:t xml:space="preserve"> something such as a minor key in western music. However, Roger Scruton objects to this distinction.  Scruton argues that a piece of sad music does not literally wallow and droop</w:t>
      </w:r>
      <w:r w:rsidR="0062307E">
        <w:t xml:space="preserve"> </w:t>
      </w:r>
      <w:r w:rsidR="00AF4A28">
        <w:t>like a sad person.</w:t>
      </w:r>
      <w:r w:rsidR="00AF4A28">
        <w:rPr>
          <w:rStyle w:val="FootnoteReference"/>
        </w:rPr>
        <w:footnoteReference w:id="10"/>
      </w:r>
      <w:r w:rsidR="00AF4A28">
        <w:t xml:space="preserve">  To recognize a piece as sad requires metaphorical thinking, making the differ</w:t>
      </w:r>
      <w:r w:rsidR="00846FAF">
        <w:t>ence between contour and convention</w:t>
      </w:r>
      <w:r w:rsidR="00AF4A28">
        <w:t xml:space="preserve"> irrelevant and also suggesting that there is no base cognitive apparatus for human musical cognition.</w:t>
      </w:r>
      <w:r w:rsidR="0062307E">
        <w:t xml:space="preserve"> </w:t>
      </w:r>
    </w:p>
    <w:p w:rsidR="00AF4A28" w:rsidRDefault="00AF4A28" w:rsidP="001A4766">
      <w:pPr>
        <w:spacing w:line="480" w:lineRule="auto"/>
        <w:ind w:firstLine="720"/>
      </w:pPr>
    </w:p>
    <w:p w:rsidR="00447810" w:rsidRDefault="0068021B" w:rsidP="001A4766">
      <w:pPr>
        <w:spacing w:line="480" w:lineRule="auto"/>
        <w:ind w:firstLine="720"/>
      </w:pPr>
      <w:r>
        <w:t>However, Kivy’s concept of contour holds up to the objection when examining the underlying cognitive functions.  Humans are equipped with the ability to recognize another’s</w:t>
      </w:r>
      <w:r w:rsidR="00D97128">
        <w:t xml:space="preserve"> emotions not just by the other’s</w:t>
      </w:r>
      <w:r>
        <w:t xml:space="preserve"> physical behavior, but by changes in vocalizations.  </w:t>
      </w:r>
      <w:r w:rsidR="0062307E">
        <w:t>Excited pe</w:t>
      </w:r>
      <w:r>
        <w:t>ople will speak quickly, loudly,</w:t>
      </w:r>
      <w:r w:rsidR="0062307E">
        <w:t xml:space="preserve"> and w</w:t>
      </w:r>
      <w:r>
        <w:t xml:space="preserve">ith large changes in intonation.  </w:t>
      </w:r>
      <w:r w:rsidR="0062307E">
        <w:t>Sad people speak more slowly</w:t>
      </w:r>
      <w:r>
        <w:t xml:space="preserve"> and with a smaller tonal range.</w:t>
      </w:r>
      <w:r w:rsidR="0062307E">
        <w:t xml:space="preserve"> </w:t>
      </w:r>
      <w:r>
        <w:t xml:space="preserve"> When music is quick, loud, and features melodies with large jumps, the listener processes the sound with the same function</w:t>
      </w:r>
      <w:r w:rsidR="00D97128">
        <w:t>s that allow</w:t>
      </w:r>
      <w:r>
        <w:t xml:space="preserve"> them to understand the emo</w:t>
      </w:r>
      <w:r w:rsidR="002F4566">
        <w:t>t</w:t>
      </w:r>
      <w:r w:rsidR="00D97128">
        <w:t>ion of another speaker, helping</w:t>
      </w:r>
      <w:r>
        <w:t xml:space="preserve"> the listener</w:t>
      </w:r>
      <w:r w:rsidR="002F4566">
        <w:t xml:space="preserve"> to</w:t>
      </w:r>
      <w:r>
        <w:t xml:space="preserve"> understand the music as exciting.  When listening to slow music with constrained melodies, the listeners process the emotion as sad in the same manner.  Scruton’s argument also brings up the possibility that a contour can acquire aspects of a </w:t>
      </w:r>
      <w:r w:rsidR="00846FAF">
        <w:t>convention</w:t>
      </w:r>
      <w:r>
        <w:t xml:space="preserve">, which is certainly necessary to express anything more than the simplest of emotions.  </w:t>
      </w:r>
      <w:r w:rsidR="0062307E">
        <w:t xml:space="preserve">The basso lamento pattern as described by Ross has both aspects of </w:t>
      </w:r>
      <w:r w:rsidR="00846FAF">
        <w:t>convention</w:t>
      </w:r>
      <w:r w:rsidR="0062307E">
        <w:t xml:space="preserve"> and contour – the falling</w:t>
      </w:r>
      <w:r>
        <w:t xml:space="preserve"> melody may suggest a human sigh</w:t>
      </w:r>
      <w:r w:rsidR="0062307E">
        <w:t xml:space="preserve">, but the particular combination of </w:t>
      </w:r>
      <w:r w:rsidR="009723F2">
        <w:t>descending steps is a specifically western practice that surfaces in music from (Henry) Purcell to (Jimmy) Page</w:t>
      </w:r>
      <w:r>
        <w:t xml:space="preserve"> and evokes a more complex emotion than a simple sigh</w:t>
      </w:r>
      <w:r w:rsidR="009723F2">
        <w:t>.</w:t>
      </w:r>
      <w:r w:rsidR="009723F2">
        <w:rPr>
          <w:rStyle w:val="FootnoteReference"/>
        </w:rPr>
        <w:footnoteReference w:id="11"/>
      </w:r>
      <w:r w:rsidR="009723F2">
        <w:t xml:space="preserve"> </w:t>
      </w:r>
      <w:r w:rsidR="00AC1934">
        <w:t>Because the perception of contours are traceable to basic human lingual-cognitive abilities, the emotions packaged in musical contours are likely to be understood by any</w:t>
      </w:r>
      <w:r w:rsidR="00D97128">
        <w:t xml:space="preserve"> potential</w:t>
      </w:r>
      <w:r w:rsidR="00AC1934">
        <w:t xml:space="preserve"> listener.</w:t>
      </w:r>
      <w:r w:rsidR="0047124E">
        <w:t xml:space="preserve">  Perception of emotions via </w:t>
      </w:r>
      <w:r w:rsidR="00846FAF">
        <w:t>convention</w:t>
      </w:r>
      <w:r w:rsidR="0047124E">
        <w:t xml:space="preserve">s requires musical training – exposure to a particular tradition of music.  The listener must be able to recognize the </w:t>
      </w:r>
      <w:r w:rsidR="00846FAF">
        <w:t>convention</w:t>
      </w:r>
      <w:r w:rsidR="0047124E">
        <w:t xml:space="preserve"> (requiring storage in long-term memory) and associate it with a particular emotion.</w:t>
      </w:r>
    </w:p>
    <w:p w:rsidR="00C704EC" w:rsidRDefault="00C704EC" w:rsidP="001A4766">
      <w:pPr>
        <w:spacing w:line="480" w:lineRule="auto"/>
        <w:ind w:firstLine="720"/>
      </w:pPr>
    </w:p>
    <w:p w:rsidR="00447810" w:rsidRDefault="00C704EC" w:rsidP="001A4766">
      <w:pPr>
        <w:spacing w:line="480" w:lineRule="auto"/>
        <w:ind w:firstLine="720"/>
      </w:pPr>
      <w:r>
        <w:t xml:space="preserve">Beyond basic emotion, a </w:t>
      </w:r>
      <w:r w:rsidR="007517B2">
        <w:t xml:space="preserve">piece of music also has a </w:t>
      </w:r>
      <w:r>
        <w:t>capacity to convey basic ideas through allusion.  This allusion may be to a particular sound not generally found in a performance space, like a birdsong or thunderstorm, or to another piece of music.  An allus</w:t>
      </w:r>
      <w:r w:rsidR="00361413">
        <w:t xml:space="preserve">ion to a particular sound is a more universal form of </w:t>
      </w:r>
      <w:r w:rsidR="00846FAF">
        <w:t>convention</w:t>
      </w:r>
      <w:r w:rsidR="00361413">
        <w:t xml:space="preserve">, as it only requires knowledge of the common sound source.  The recognition can inspire an emotional response through association as well.  </w:t>
      </w:r>
      <w:r w:rsidR="00526EE4">
        <w:t>An allusion to a particular piece of music within another can communicat</w:t>
      </w:r>
      <w:r w:rsidR="005902C1">
        <w:t>e a composer’s opinion of another musician</w:t>
      </w:r>
      <w:r w:rsidR="00526EE4">
        <w:t xml:space="preserve">, or give the piece </w:t>
      </w:r>
      <w:r w:rsidR="005902C1">
        <w:t>a geographical setting.  For instance, jazz trumpeter Dave Douglas quotes Miles Davis’ “Boplicity” on a tune called “Penelope,” expressing admiration for the older master.  Aaron Copland uses the Shaker folk tune “Simple Gifts” in his ballet “Appalachian Spring” to strengthen the ballet’s American backwoods setting.  In order to understand the musical allusion, a listener must have prior knowledge of the piece that is alluded to.</w:t>
      </w:r>
      <w:r w:rsidR="004F35E7">
        <w:t xml:space="preserve">  If the listener does not recognize the alluded piece, he or she will not get the joke, and will not understand the potentially odd musical gesture.  However, allusion is for the most part a very small aspect of a piece of music.  To return to the </w:t>
      </w:r>
      <w:r w:rsidR="004F35E7">
        <w:rPr>
          <w:i/>
        </w:rPr>
        <w:t>City Noir</w:t>
      </w:r>
      <w:r w:rsidR="004F35E7">
        <w:t xml:space="preserve"> example, the listeners noted orchestrational references to golden-age Hollywood film scores, but the recognition of this allusion did not affect their understanding of the basic emotional content of the trumpet solo and percussive finale.  A listener who was not familiar with scores by Bernard Herrmann and Elmer Bernstein would still achieve an adequate understanding of the piece.</w:t>
      </w:r>
    </w:p>
    <w:p w:rsidR="0047124E" w:rsidRPr="004F35E7" w:rsidRDefault="0047124E" w:rsidP="001A4766">
      <w:pPr>
        <w:spacing w:line="480" w:lineRule="auto"/>
        <w:ind w:firstLine="720"/>
      </w:pPr>
    </w:p>
    <w:p w:rsidR="00447810" w:rsidRDefault="004F35E7" w:rsidP="00B02E5E">
      <w:pPr>
        <w:spacing w:line="480" w:lineRule="auto"/>
        <w:ind w:firstLine="720"/>
      </w:pPr>
      <w:r>
        <w:t>Even if a piece of music is littered with arcane references</w:t>
      </w:r>
      <w:r w:rsidR="0047124E">
        <w:t>, understanding the</w:t>
      </w:r>
      <w:r>
        <w:t xml:space="preserve"> basic emotions transmitted by it</w:t>
      </w:r>
      <w:r w:rsidR="0047124E">
        <w:t xml:space="preserve"> is attainable by an average listener in a particular culture.</w:t>
      </w:r>
      <w:r w:rsidR="00C704EC">
        <w:t xml:space="preserve">  There is no technical knowledge required, just basic cognitive faculties.</w:t>
      </w:r>
      <w:r w:rsidR="0047124E">
        <w:t xml:space="preserve">  But if it really is th</w:t>
      </w:r>
      <w:r>
        <w:t xml:space="preserve">is easy to understand and enjoy </w:t>
      </w:r>
      <w:r w:rsidR="0047124E">
        <w:t>music, the common gripe of “I don’t understand it”</w:t>
      </w:r>
      <w:r w:rsidR="00525DBF">
        <w:t xml:space="preserve"> in regards to more contemporary music</w:t>
      </w:r>
      <w:r w:rsidR="00C704EC">
        <w:t xml:space="preserve"> can mean a couple of things.  First, it could mean the</w:t>
      </w:r>
      <w:r w:rsidR="00525DBF">
        <w:t xml:space="preserve"> particular piece of </w:t>
      </w:r>
      <w:r w:rsidR="00C704EC">
        <w:t xml:space="preserve">itself does not evoke contours of human communication and/or does not use </w:t>
      </w:r>
      <w:r w:rsidR="00846FAF">
        <w:t>convention</w:t>
      </w:r>
      <w:r w:rsidR="00C704EC">
        <w:t>s that are recognizable by the audience.  Second, it could also mean that</w:t>
      </w:r>
      <w:r>
        <w:t xml:space="preserve"> the term</w:t>
      </w:r>
      <w:r w:rsidR="00C704EC">
        <w:t xml:space="preserve"> understanding is misused by an audience member t</w:t>
      </w:r>
      <w:r>
        <w:t>o mean something else – that the listener did not</w:t>
      </w:r>
      <w:r w:rsidR="008804A7">
        <w:t xml:space="preserve"> actively engage</w:t>
      </w:r>
      <w:r>
        <w:t xml:space="preserve"> the piece and therefore did not receive any emotional information. </w:t>
      </w:r>
      <w:r w:rsidR="00B02E5E">
        <w:t xml:space="preserve"> </w:t>
      </w:r>
    </w:p>
    <w:p w:rsidR="00B02E5E" w:rsidRDefault="00B02E5E" w:rsidP="00B02E5E">
      <w:pPr>
        <w:spacing w:line="480" w:lineRule="auto"/>
        <w:ind w:firstLine="720"/>
      </w:pPr>
    </w:p>
    <w:p w:rsidR="00447810" w:rsidRDefault="00B02E5E" w:rsidP="00B02E5E">
      <w:pPr>
        <w:spacing w:line="480" w:lineRule="auto"/>
        <w:ind w:firstLine="720"/>
      </w:pPr>
      <w:r>
        <w:t>These two points are related because they deal with ambiguity in music.</w:t>
      </w:r>
      <w:r w:rsidR="00E53679">
        <w:t xml:space="preserve">  As noted by Leonard Bernstein in one his six Norton Lectures at Harvard University in 1973, western classical music became increasingly ambiguous throughout the 19</w:t>
      </w:r>
      <w:r w:rsidR="00E53679" w:rsidRPr="00E53679">
        <w:rPr>
          <w:vertAlign w:val="superscript"/>
        </w:rPr>
        <w:t>th</w:t>
      </w:r>
      <w:r w:rsidR="00E53679">
        <w:t xml:space="preserve"> century through extreme use of chromaticism.</w:t>
      </w:r>
      <w:r w:rsidR="00E53679">
        <w:rPr>
          <w:rStyle w:val="FootnoteReference"/>
        </w:rPr>
        <w:footnoteReference w:id="12"/>
      </w:r>
      <w:r w:rsidR="00E53679">
        <w:t xml:space="preserve"> He makes an example of Chopin’s Mazurka no. 4 and how it </w:t>
      </w:r>
      <w:r w:rsidR="00BE40A1">
        <w:t>obscures its tonal center through harmonic relationships that suggest multip</w:t>
      </w:r>
      <w:r w:rsidR="000C2E8E">
        <w:t>le keys</w:t>
      </w:r>
      <w:r w:rsidR="00BE40A1">
        <w:t xml:space="preserve">, and holding off any standard V-I cadence </w:t>
      </w:r>
      <w:r w:rsidR="000C2E8E">
        <w:t>for nineteen bars</w:t>
      </w:r>
      <w:r w:rsidR="00BE40A1">
        <w:t>.</w:t>
      </w:r>
      <w:r w:rsidR="00B46EF1">
        <w:rPr>
          <w:rStyle w:val="FootnoteReference"/>
        </w:rPr>
        <w:footnoteReference w:id="13"/>
      </w:r>
      <w:r w:rsidR="00B46EF1">
        <w:t xml:space="preserve"> </w:t>
      </w:r>
      <w:r w:rsidR="00082B3A">
        <w:t>The pinnacle of musical ambiguity comes in serial music.  By its very nature, serialism is meant to be tonally ambiguous</w:t>
      </w:r>
      <w:r w:rsidR="000C2E8E">
        <w:t>, but by eliminating all relationship to tonality</w:t>
      </w:r>
      <w:r w:rsidR="00082B3A">
        <w:t xml:space="preserve">, it becomes emotionally ambiguous as well.  </w:t>
      </w:r>
      <w:r w:rsidR="008804A7">
        <w:t>S</w:t>
      </w:r>
      <w:r w:rsidR="00950941">
        <w:t>ome psychologists have tried to explain that the difficulty of listening to serial music is that</w:t>
      </w:r>
      <w:r w:rsidR="008804A7">
        <w:t xml:space="preserve"> there are fewer rules regulating</w:t>
      </w:r>
      <w:r w:rsidR="00950941">
        <w:t xml:space="preserve"> probable musical events.</w:t>
      </w:r>
      <w:r w:rsidR="00950941">
        <w:rPr>
          <w:rStyle w:val="FootnoteReference"/>
        </w:rPr>
        <w:footnoteReference w:id="14"/>
      </w:r>
      <w:r w:rsidR="00950941">
        <w:t xml:space="preserve">  Humans do not have computational brain power to parse these probabilities,</w:t>
      </w:r>
      <w:r w:rsidR="008804A7">
        <w:t xml:space="preserve"> and</w:t>
      </w:r>
      <w:r w:rsidR="00950941">
        <w:t xml:space="preserve"> so from a technical concept, cannot understand it.  However, this concept</w:t>
      </w:r>
      <w:r w:rsidR="009748CC">
        <w:t xml:space="preserve"> of unsatisfactory processing</w:t>
      </w:r>
      <w:r w:rsidR="00950941">
        <w:t xml:space="preserve"> also applies to</w:t>
      </w:r>
      <w:r w:rsidR="009748CC">
        <w:t xml:space="preserve"> understanding</w:t>
      </w:r>
      <w:r w:rsidR="00950941">
        <w:t xml:space="preserve"> Bach’s crab cannon in “A Musical Offering,”</w:t>
      </w:r>
      <w:r w:rsidR="008804A7">
        <w:t xml:space="preserve"> (no one can hear the complex form as the piece unfolds)</w:t>
      </w:r>
      <w:r w:rsidR="00950941">
        <w:t xml:space="preserve"> and listeners </w:t>
      </w:r>
      <w:r w:rsidR="009748CC">
        <w:t xml:space="preserve">usually do not have the same reaction to that piece as Webern’s </w:t>
      </w:r>
      <w:r w:rsidR="009748CC">
        <w:rPr>
          <w:i/>
        </w:rPr>
        <w:t>Six Pieces for Orchestra</w:t>
      </w:r>
      <w:r w:rsidR="009748CC">
        <w:t xml:space="preserve">.  Instead, the difficulty in understanding serial music is that the desire to use all twelve notes of the chromatic scale equally leads to decidedly jagged, inhuman contours.  In addition, by throwing out all vestiges of tonality, serialism lacks the vocabulary of tonal </w:t>
      </w:r>
      <w:r w:rsidR="00846FAF">
        <w:t>convention</w:t>
      </w:r>
      <w:r w:rsidR="009748CC">
        <w:t>s that a listener could understand.  Certainly this kind of music may be transmitting some emotion, it is just that the emotion is hard to articulate and u</w:t>
      </w:r>
      <w:r w:rsidR="004712DC">
        <w:t>nfamiliar to an average human</w:t>
      </w:r>
      <w:r w:rsidR="009748CC">
        <w:t>.</w:t>
      </w:r>
    </w:p>
    <w:p w:rsidR="000A1608" w:rsidRDefault="000A1608" w:rsidP="00B02E5E">
      <w:pPr>
        <w:spacing w:line="480" w:lineRule="auto"/>
        <w:ind w:firstLine="720"/>
      </w:pPr>
    </w:p>
    <w:p w:rsidR="00447810" w:rsidRDefault="000A1608" w:rsidP="00B02E5E">
      <w:pPr>
        <w:spacing w:line="480" w:lineRule="auto"/>
        <w:ind w:firstLine="720"/>
      </w:pPr>
      <w:r>
        <w:t xml:space="preserve">However, artistic ambiguity in every discipline has received forceful advocacy for its beauty and power.  For instance, the literary critic </w:t>
      </w:r>
      <w:r w:rsidR="009577D0">
        <w:t xml:space="preserve">William Empson in his 1930 book </w:t>
      </w:r>
      <w:r w:rsidR="009577D0">
        <w:rPr>
          <w:i/>
        </w:rPr>
        <w:t>Seven Types of Ambiguity</w:t>
      </w:r>
      <w:r w:rsidR="002858E7">
        <w:t xml:space="preserve"> praised the oft-ignored poetry of Gerard Manley Hopkins for its irregular wordplay.</w:t>
      </w:r>
      <w:r w:rsidR="002858E7">
        <w:rPr>
          <w:rStyle w:val="FootnoteReference"/>
        </w:rPr>
        <w:footnoteReference w:id="15"/>
      </w:r>
      <w:r w:rsidR="002858E7">
        <w:t xml:space="preserve"> Empson showed how emphasizing different syllables in a particular line</w:t>
      </w:r>
      <w:r w:rsidR="00D8602B">
        <w:t xml:space="preserve"> of Hopkins</w:t>
      </w:r>
      <w:r w:rsidR="002858E7">
        <w:t xml:space="preserve"> could change the line’s meani</w:t>
      </w:r>
      <w:r w:rsidR="008804A7">
        <w:t xml:space="preserve">ng, adding </w:t>
      </w:r>
      <w:r w:rsidR="002858E7">
        <w:t>richness to the poetry.</w:t>
      </w:r>
      <w:r w:rsidR="002858E7">
        <w:rPr>
          <w:rStyle w:val="FootnoteReference"/>
        </w:rPr>
        <w:footnoteReference w:id="16"/>
      </w:r>
      <w:r w:rsidR="005E3239">
        <w:t xml:space="preserve">  In current music criticism, it is common to praise an album as a “grower,” one that reveals new layers of beauty on repeated listens.</w:t>
      </w:r>
      <w:r w:rsidR="005E3239">
        <w:rPr>
          <w:rStyle w:val="FootnoteReference"/>
        </w:rPr>
        <w:footnoteReference w:id="17"/>
      </w:r>
      <w:r w:rsidR="003D6C91">
        <w:t xml:space="preserve"> </w:t>
      </w:r>
      <w:r w:rsidR="00DC1104">
        <w:t>This praise of musical ambiguity acknowledges the arcane</w:t>
      </w:r>
      <w:r w:rsidR="000B1E8B">
        <w:t xml:space="preserve"> manner of emotional tran</w:t>
      </w:r>
      <w:r w:rsidR="00B04D6A">
        <w:t xml:space="preserve">smission, but also suggests that mysteriousness inherent in the work makes it a more potent and rewarding listen.  </w:t>
      </w:r>
      <w:r w:rsidR="004B4B68">
        <w:t>If emotional ambiguity is such a good thing, why does it turn so many listeners off?</w:t>
      </w:r>
      <w:r w:rsidR="000B1E8B">
        <w:t xml:space="preserve"> </w:t>
      </w:r>
    </w:p>
    <w:p w:rsidR="004B4B68" w:rsidRDefault="004B4B68" w:rsidP="00B02E5E">
      <w:pPr>
        <w:spacing w:line="480" w:lineRule="auto"/>
        <w:ind w:firstLine="720"/>
      </w:pPr>
    </w:p>
    <w:p w:rsidR="00447810" w:rsidRDefault="004B4B68" w:rsidP="00B02E5E">
      <w:pPr>
        <w:spacing w:line="480" w:lineRule="auto"/>
        <w:ind w:firstLine="720"/>
      </w:pPr>
      <w:r>
        <w:t xml:space="preserve">Let us return to the </w:t>
      </w:r>
      <w:r>
        <w:rPr>
          <w:i/>
        </w:rPr>
        <w:t xml:space="preserve">City Noir </w:t>
      </w:r>
      <w:r>
        <w:t>experiment.  Previous, we were able to account for differences in understanding between the two listeners in that their understandings shared an underlying recognition of basic emotions transmitted by the piece.  But now after hearing their conversation, we walk back towards the hall and hear another</w:t>
      </w:r>
      <w:r w:rsidR="0023265E">
        <w:t xml:space="preserve"> longtime</w:t>
      </w:r>
      <w:r>
        <w:t xml:space="preserve"> patron</w:t>
      </w:r>
      <w:r w:rsidR="0023265E">
        <w:t>’s comment</w:t>
      </w:r>
      <w:r>
        <w:t>.</w:t>
      </w:r>
      <w:r w:rsidR="0023265E">
        <w:t xml:space="preserve">  </w:t>
      </w:r>
    </w:p>
    <w:p w:rsidR="0023265E" w:rsidRDefault="0023265E" w:rsidP="00B02E5E">
      <w:pPr>
        <w:spacing w:line="480" w:lineRule="auto"/>
        <w:ind w:firstLine="720"/>
      </w:pPr>
    </w:p>
    <w:p w:rsidR="00447810" w:rsidRDefault="0023265E" w:rsidP="00B02E5E">
      <w:pPr>
        <w:spacing w:line="480" w:lineRule="auto"/>
        <w:ind w:firstLine="720"/>
      </w:pPr>
      <w:r>
        <w:t>“I liked that kind of Latin jazzy part at the end, but I didn’t get most of what came before it.  I’d rather hear ‘Short Ride in a Fast Machine’ than sit through that slog.”</w:t>
      </w:r>
    </w:p>
    <w:p w:rsidR="0023265E" w:rsidRDefault="0023265E" w:rsidP="00B02E5E">
      <w:pPr>
        <w:spacing w:line="480" w:lineRule="auto"/>
        <w:ind w:firstLine="720"/>
      </w:pPr>
    </w:p>
    <w:p w:rsidR="00447810" w:rsidRDefault="0023265E" w:rsidP="00B9398F">
      <w:pPr>
        <w:spacing w:line="480" w:lineRule="auto"/>
        <w:ind w:firstLine="720"/>
      </w:pPr>
      <w:r>
        <w:t>How was this listener’s experience so much different than the other two’s?  This man is also familiar with Adams’ previous work, so his difference in understanding is</w:t>
      </w:r>
      <w:r w:rsidR="004F6CC2">
        <w:t xml:space="preserve"> not</w:t>
      </w:r>
      <w:r>
        <w:t xml:space="preserve"> attributable to knowledge.  Rather, this response has to do with the particular listener’s level of engagement at different parts </w:t>
      </w:r>
      <w:r w:rsidR="00F965B6">
        <w:t>of the p</w:t>
      </w:r>
      <w:r w:rsidR="007A354B">
        <w:t xml:space="preserve">iece. </w:t>
      </w:r>
      <w:r w:rsidR="00D508C6">
        <w:t xml:space="preserve"> There are different ways for a listener to engage with a piece of music.  The easiest to carry out, and perhaps most visceral, is to dance, to move one’s body in synchronicity with the regular pulse.  It is very uncommon to hear “I don’t underst</w:t>
      </w:r>
      <w:r w:rsidR="0084798F">
        <w:t xml:space="preserve">and the music” at a discotheque or a folk dance ceremony because the appropriate audience response is simple to grasp and carry out.  A step down the audience-behavioral response chain is a jazz club, where the audience can move to the music more subtly (foot tapping, head bobbing) and cheer after a particularly impressive solo.  However, there is a greater degree of attention and patience required to follow the narrative of an improvised solo or the interplay of the rhythm section.  The next major step beyond the jazz club is hearing classical music at a concert hall.  There is no room for bodily movement along to the music and sometimes not even a regular pulse to move to.  Applauding in the middle of the piece is disdained.  The listening experience in a concert hall is abstract and takes place exclusively inside the minds of the audience members.  In order to engage a piece of abstract, serious music, the listener must </w:t>
      </w:r>
      <w:r w:rsidR="00B9398F">
        <w:t xml:space="preserve">have an active mind because the music does not actively engage the body like dance music does.  The first two men we met had very active minds during the </w:t>
      </w:r>
      <w:r w:rsidR="00B9398F">
        <w:rPr>
          <w:i/>
        </w:rPr>
        <w:t>City Noir</w:t>
      </w:r>
      <w:r w:rsidR="00B9398F">
        <w:t xml:space="preserve"> performance.  As the piece played out, they performed</w:t>
      </w:r>
      <w:r w:rsidR="00D8602B">
        <w:t xml:space="preserve"> subconscious</w:t>
      </w:r>
      <w:r w:rsidR="00B9398F">
        <w:t xml:space="preserve"> mental acrobatics by connecting the piece to other music they had heard before (the work of Adams and old film scores) and associating the basic emotions transmitted by the piece with particular images or experiences</w:t>
      </w:r>
      <w:r w:rsidR="00D8602B">
        <w:t>, which heightened the power of those emotions</w:t>
      </w:r>
      <w:r w:rsidR="00B9398F">
        <w:t>.  These two understood</w:t>
      </w:r>
      <w:r w:rsidR="00D508C6">
        <w:t xml:space="preserve"> </w:t>
      </w:r>
      <w:r w:rsidR="00B9398F">
        <w:t>the piece much more thoroughly than the thi</w:t>
      </w:r>
      <w:r w:rsidR="00473399">
        <w:t>rd man because they mentally participated in the music making</w:t>
      </w:r>
      <w:r w:rsidR="00B9398F">
        <w:t>, rather than sitting back and waiting for the music to do something that would actively grab their attention.</w:t>
      </w:r>
      <w:r w:rsidR="0046247B">
        <w:t xml:space="preserve">  The more passive form of listening is adequate for engagement with a top 40 pop song, as those tunes do whatever they can to lodge themselves in the listener’s</w:t>
      </w:r>
      <w:r w:rsidR="00846FAF">
        <w:t xml:space="preserve"> brain through repetitive hooks and</w:t>
      </w:r>
      <w:r w:rsidR="0046247B">
        <w:t xml:space="preserve"> straightforward em</w:t>
      </w:r>
      <w:r w:rsidR="00846FAF">
        <w:t>otional gestures</w:t>
      </w:r>
      <w:r w:rsidR="00473399">
        <w:t xml:space="preserve">.  But as </w:t>
      </w:r>
      <w:r w:rsidR="0046247B">
        <w:t>music gets increasingly abstract, the listener must become much more intellectually active and search for the piece’s power, rather than having it served to them on a silver platter.  The intense satisfaction that some listeners get from abstract music is perhaps attributable to the sense of discovery when mining through the murky piece.</w:t>
      </w:r>
    </w:p>
    <w:p w:rsidR="00B9398F" w:rsidRDefault="00B9398F" w:rsidP="00B9398F">
      <w:pPr>
        <w:spacing w:line="480" w:lineRule="auto"/>
        <w:ind w:firstLine="720"/>
      </w:pPr>
    </w:p>
    <w:p w:rsidR="00447810" w:rsidRDefault="00B9398F" w:rsidP="00B9398F">
      <w:pPr>
        <w:spacing w:line="480" w:lineRule="auto"/>
        <w:ind w:firstLine="720"/>
      </w:pPr>
      <w:r>
        <w:t xml:space="preserve">To understand and enjoy a piece of music, one does not need special knowledge of the technical aspects of the music, or the composer’s history, but rather just a proper mindset.  The </w:t>
      </w:r>
      <w:r w:rsidR="003A2526">
        <w:t xml:space="preserve">importance of the active mind while listening to a musical performance can help bridge the gap between the basic contour-gesture theory of musical understanding to the concept of why music is </w:t>
      </w:r>
      <w:r w:rsidR="003A2526">
        <w:rPr>
          <w:i/>
        </w:rPr>
        <w:t xml:space="preserve">so </w:t>
      </w:r>
      <w:r w:rsidR="003A2526">
        <w:t>potent to people in very particular ways.  Say a</w:t>
      </w:r>
      <w:r w:rsidR="00BA26FF">
        <w:t xml:space="preserve"> modern</w:t>
      </w:r>
      <w:r w:rsidR="003A2526">
        <w:t xml:space="preserve"> jazz connoisseur and a person who has never heard a note of jazz in her life listened to two different charts by the Duke Ellington band – “Take the A Train” and “Happy Go Lucky Local.”  The inexperienced listener would probably get a basic emotional understanding of the piece</w:t>
      </w:r>
      <w:r w:rsidR="007A6334">
        <w:t>s</w:t>
      </w:r>
      <w:r w:rsidR="003A2526">
        <w:t>, perhaps recognizing the imitative sound effects of the brass section and a feeling of movement from the driving swing.  But beyond that, the pieces would sound much the same because they share a vocabulary of contours and gestures – the pieces transmit the same basic information.  However, the jazz connoisseur uses her experience to think about the pieces as they play</w:t>
      </w:r>
      <w:r w:rsidR="00BA26FF">
        <w:t>.  The horn sound effects in “Happy Go Lucky” both remind her of free jazz she hears in New York basements and help her create the image of an old train crisscrossing the American south in her head.  She enjoys the infectious melody of “Take the A Train,” but it fails to strike the same deep feeling in her mind.  The two are vastly different pieces to her because of how she</w:t>
      </w:r>
      <w:r w:rsidR="00785862">
        <w:t xml:space="preserve"> uses her experiences and memories to relate to them.  </w:t>
      </w:r>
    </w:p>
    <w:p w:rsidR="00B364B5" w:rsidRDefault="00B364B5" w:rsidP="00B9398F">
      <w:pPr>
        <w:spacing w:line="480" w:lineRule="auto"/>
        <w:ind w:firstLine="720"/>
      </w:pPr>
    </w:p>
    <w:p w:rsidR="00447810" w:rsidRDefault="00B364B5" w:rsidP="00B9398F">
      <w:pPr>
        <w:spacing w:line="480" w:lineRule="auto"/>
        <w:ind w:firstLine="720"/>
      </w:pPr>
      <w:r>
        <w:t xml:space="preserve">If listeners were only able to respond to music with basic emotions, music would not have the kind of potency to make it the unavoidable cultural activity it is.  However, music is not a true universal </w:t>
      </w:r>
      <w:r>
        <w:rPr>
          <w:i/>
        </w:rPr>
        <w:t>language</w:t>
      </w:r>
      <w:r>
        <w:t xml:space="preserve">, as it does not transmit semantic information to express complex ideas or emotions.  Rather, musical similarities to basic human communicative gestures suggest the same basic emotions that the original gestures express.  The real emotional potency of music comes from the listener’s own mind and the hardwired connections between particular sounds, tones, emotional states, images, and memories.  Music is inherently abstract for the most part, but that abstraction allows for the expression of deep and complex emotions, albeit created differently in the mind of each listener.  To understand music is to merely engage with it, allowing one’s mind </w:t>
      </w:r>
      <w:r w:rsidR="006209D8">
        <w:t xml:space="preserve">to wander during the performance and subconsciously connect auditory </w:t>
      </w:r>
      <w:r w:rsidR="007A6334">
        <w:t>stimuli with emotion and image-</w:t>
      </w:r>
      <w:r w:rsidR="006209D8">
        <w:t>recognizing sections of the brain.  In the end, the music not only cares that you listen, but that you think too.  The performer and listener are co-creators of musical meaning.</w:t>
      </w:r>
    </w:p>
    <w:p w:rsidR="00447810" w:rsidRDefault="00447810" w:rsidP="00447810">
      <w:pPr>
        <w:spacing w:line="480" w:lineRule="auto"/>
        <w:jc w:val="center"/>
      </w:pPr>
      <w:r>
        <w:t>Sources (in case footnotes are not visible)</w:t>
      </w:r>
    </w:p>
    <w:p w:rsidR="00E8075D" w:rsidRDefault="00E8075D" w:rsidP="00E8075D">
      <w:pPr>
        <w:pStyle w:val="FootnoteText"/>
        <w:rPr>
          <w:i/>
        </w:rPr>
      </w:pPr>
      <w:r>
        <w:t xml:space="preserve">Alex Ross, “Chaconna, Lamento, Walking Blues: Bass lines of music history,” from </w:t>
      </w:r>
      <w:r>
        <w:rPr>
          <w:i/>
        </w:rPr>
        <w:t>Listen to This</w:t>
      </w:r>
      <w:r>
        <w:t>, London: HarperCollins, 2010.</w:t>
      </w:r>
    </w:p>
    <w:p w:rsidR="00E8075D" w:rsidRDefault="00E8075D" w:rsidP="00E8075D">
      <w:pPr>
        <w:pStyle w:val="FootnoteText"/>
        <w:rPr>
          <w:i/>
        </w:rPr>
      </w:pPr>
    </w:p>
    <w:p w:rsidR="00E8075D" w:rsidRDefault="00E8075D" w:rsidP="00E8075D">
      <w:pPr>
        <w:pStyle w:val="FootnoteText"/>
      </w:pPr>
      <w:r>
        <w:rPr>
          <w:i/>
        </w:rPr>
        <w:t>City Noir</w:t>
      </w:r>
      <w:r>
        <w:t xml:space="preserve"> Performance note, </w:t>
      </w:r>
      <w:r w:rsidRPr="00AC38AC">
        <w:t>http://www.earbox.com/W-citynoir.html</w:t>
      </w:r>
      <w:r>
        <w:t>.</w:t>
      </w:r>
    </w:p>
    <w:p w:rsidR="00E8075D" w:rsidRDefault="00E8075D" w:rsidP="00E8075D">
      <w:pPr>
        <w:pStyle w:val="FootnoteText"/>
      </w:pPr>
    </w:p>
    <w:p w:rsidR="00E8075D" w:rsidRDefault="00E8075D" w:rsidP="00E8075D">
      <w:pPr>
        <w:pStyle w:val="FootnoteText"/>
      </w:pPr>
      <w:r>
        <w:t xml:space="preserve">Fred Lehrdal and Ray Jackendoff, </w:t>
      </w:r>
      <w:r>
        <w:rPr>
          <w:i/>
        </w:rPr>
        <w:t>A Generative Theory of Tonal Music</w:t>
      </w:r>
      <w:r>
        <w:t>, Cambridge, MA: MIT Press, 1983.</w:t>
      </w:r>
    </w:p>
    <w:p w:rsidR="00E8075D" w:rsidRDefault="00E8075D" w:rsidP="00E8075D">
      <w:pPr>
        <w:pStyle w:val="FootnoteText"/>
      </w:pPr>
    </w:p>
    <w:p w:rsidR="00E8075D" w:rsidRDefault="00E8075D" w:rsidP="00E8075D">
      <w:pPr>
        <w:pStyle w:val="FootnoteText"/>
      </w:pPr>
      <w:r>
        <w:t xml:space="preserve">Laura-Lee Balkwill and William Forde Thompson, “A Cross-Cultural Investigation of Emotion in Music: Psychophysical and Cultural Cues,” </w:t>
      </w:r>
      <w:r>
        <w:rPr>
          <w:i/>
        </w:rPr>
        <w:t>Music Perception</w:t>
      </w:r>
      <w:r>
        <w:t>, vol. 17, no. 1, Fall 1999, pp. 43-64.</w:t>
      </w:r>
    </w:p>
    <w:p w:rsidR="00E8075D" w:rsidRDefault="00E8075D" w:rsidP="00E8075D">
      <w:pPr>
        <w:pStyle w:val="FootnoteText"/>
      </w:pPr>
    </w:p>
    <w:p w:rsidR="00E8075D" w:rsidRDefault="00E8075D" w:rsidP="00E8075D">
      <w:pPr>
        <w:pStyle w:val="FootnoteText"/>
      </w:pPr>
      <w:r>
        <w:t xml:space="preserve">Leonard Bernstein, “The Dangers and Delights of Ambiguity,” from </w:t>
      </w:r>
      <w:r>
        <w:rPr>
          <w:i/>
        </w:rPr>
        <w:t>The Unanswered Question: Six Talks at Harvard</w:t>
      </w:r>
      <w:r>
        <w:t>, Cambridge, MA: Harvard University Press, 1976.</w:t>
      </w:r>
    </w:p>
    <w:p w:rsidR="00E8075D" w:rsidRDefault="00E8075D" w:rsidP="00E8075D">
      <w:pPr>
        <w:pStyle w:val="FootnoteText"/>
      </w:pPr>
    </w:p>
    <w:p w:rsidR="00E8075D" w:rsidRDefault="00E8075D" w:rsidP="00E8075D">
      <w:pPr>
        <w:pStyle w:val="FootnoteText"/>
      </w:pPr>
      <w:r>
        <w:t xml:space="preserve">Peter Kivy, </w:t>
      </w:r>
      <w:r>
        <w:rPr>
          <w:i/>
        </w:rPr>
        <w:t>The Corded Shell</w:t>
      </w:r>
      <w:r>
        <w:t>, Princeton, NJ: Princeton University Press, 1980.</w:t>
      </w:r>
    </w:p>
    <w:p w:rsidR="00E8075D" w:rsidRDefault="00E8075D" w:rsidP="00E8075D">
      <w:pPr>
        <w:pStyle w:val="FootnoteText"/>
      </w:pPr>
    </w:p>
    <w:p w:rsidR="00E8075D" w:rsidRDefault="00E8075D" w:rsidP="00E8075D">
      <w:pPr>
        <w:pStyle w:val="FootnoteText"/>
      </w:pPr>
      <w:r>
        <w:t xml:space="preserve">Roger Scruton, </w:t>
      </w:r>
      <w:r>
        <w:rPr>
          <w:i/>
        </w:rPr>
        <w:t>The Aesthetics of Music</w:t>
      </w:r>
      <w:r>
        <w:t>, Oxford: Clarendon Press, 1997.</w:t>
      </w:r>
    </w:p>
    <w:p w:rsidR="00E8075D" w:rsidRDefault="00E8075D" w:rsidP="00E8075D">
      <w:pPr>
        <w:pStyle w:val="FootnoteText"/>
      </w:pPr>
    </w:p>
    <w:p w:rsidR="00E8075D" w:rsidRDefault="00E8075D" w:rsidP="00E8075D">
      <w:pPr>
        <w:pStyle w:val="FootnoteText"/>
      </w:pPr>
      <w:r>
        <w:t xml:space="preserve">Thomas Fritz, et. al, “Universal Recognition of Three Basic Emotions in Music,” </w:t>
      </w:r>
      <w:r>
        <w:rPr>
          <w:i/>
        </w:rPr>
        <w:t>Current Biology</w:t>
      </w:r>
      <w:r>
        <w:t>, no. 19, April 14, 2009, pp. 1-4.</w:t>
      </w:r>
    </w:p>
    <w:p w:rsidR="00E8075D" w:rsidRDefault="00E8075D" w:rsidP="00E8075D">
      <w:pPr>
        <w:pStyle w:val="FootnoteText"/>
      </w:pPr>
    </w:p>
    <w:p w:rsidR="00E8075D" w:rsidRPr="00FF7C76" w:rsidRDefault="00E8075D" w:rsidP="00E8075D">
      <w:pPr>
        <w:pStyle w:val="FootnoteText"/>
      </w:pPr>
      <w:r>
        <w:t xml:space="preserve">William Empson, </w:t>
      </w:r>
      <w:r>
        <w:rPr>
          <w:i/>
        </w:rPr>
        <w:t>Seven Types of Ambiguity</w:t>
      </w:r>
      <w:r>
        <w:t>, London: 1930.</w:t>
      </w:r>
    </w:p>
    <w:p w:rsidR="00E8075D" w:rsidRDefault="00E8075D" w:rsidP="00E8075D">
      <w:pPr>
        <w:pStyle w:val="FootnoteText"/>
      </w:pPr>
    </w:p>
    <w:p w:rsidR="00E8075D" w:rsidRDefault="00E8075D" w:rsidP="00E8075D">
      <w:pPr>
        <w:pStyle w:val="FootnoteText"/>
      </w:pPr>
    </w:p>
    <w:p w:rsidR="00401161" w:rsidRPr="00B364B5" w:rsidRDefault="00401161" w:rsidP="00E8075D">
      <w:pPr>
        <w:pStyle w:val="FootnoteText"/>
      </w:pPr>
    </w:p>
    <w:sectPr w:rsidR="00401161" w:rsidRPr="00B364B5" w:rsidSect="00D97128">
      <w:footerReference w:type="even" r:id="rId5"/>
      <w:footerReference w:type="default" r:id="rId6"/>
      <w:headerReference w:type="first" r:id="rId7"/>
      <w:pgSz w:w="12240" w:h="15840"/>
      <w:pgMar w:top="1440" w:right="1440" w:bottom="1440" w:left="1440" w:gutter="0"/>
      <w:titlePg/>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footer1.xml><?xml version="1.0" encoding="utf-8"?>
<w:ft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47810" w:rsidRDefault="00447810" w:rsidP="000C2E8E">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447810" w:rsidRDefault="00447810" w:rsidP="00D97128">
    <w:pPr>
      <w:pStyle w:val="Footer"/>
      <w:ind w:right="360"/>
    </w:pPr>
  </w:p>
</w:ftr>
</file>

<file path=word/footer2.xml><?xml version="1.0" encoding="utf-8"?>
<w:ft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47810" w:rsidRDefault="00447810" w:rsidP="000C2E8E">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E8075D">
      <w:rPr>
        <w:rStyle w:val="PageNumber"/>
        <w:noProof/>
      </w:rPr>
      <w:t>14</w:t>
    </w:r>
    <w:r>
      <w:rPr>
        <w:rStyle w:val="PageNumber"/>
      </w:rPr>
      <w:fldChar w:fldCharType="end"/>
    </w:r>
  </w:p>
  <w:p w:rsidR="00447810" w:rsidRDefault="00447810" w:rsidP="00D97128">
    <w:pPr>
      <w:pStyle w:val="Footer"/>
      <w:ind w:right="360"/>
      <w:jc w:val="right"/>
    </w:pPr>
    <w:r>
      <w:t>Laskey</w:t>
    </w:r>
  </w:p>
</w:ftr>
</file>

<file path=word/footnotes.xml><?xml version="1.0" encoding="utf-8"?>
<w:foot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id="-1">
    <w:p w:rsidR="00447810" w:rsidRDefault="00447810">
      <w:pPr>
        <w:pStyle w:val="FootnoteText"/>
      </w:pPr>
      <w:r>
        <w:rPr>
          <w:rStyle w:val="FootnoteReference"/>
        </w:rPr>
        <w:footnoteRef/>
      </w:r>
      <w:r>
        <w:t xml:space="preserve"> This predicament is quite humorously portrayed in a homemade cartoon web video about a professional choral group.  See </w:t>
      </w:r>
      <w:r w:rsidRPr="004F7665">
        <w:t>http://www.youtube.com/watch?v=T0W59PDwFNM</w:t>
      </w:r>
    </w:p>
  </w:footnote>
  <w:footnote w:id="0">
    <w:p w:rsidR="00447810" w:rsidRDefault="00447810">
      <w:pPr>
        <w:pStyle w:val="FootnoteText"/>
      </w:pPr>
      <w:r>
        <w:rPr>
          <w:rStyle w:val="FootnoteReference"/>
        </w:rPr>
        <w:footnoteRef/>
      </w:r>
      <w:r>
        <w:t xml:space="preserve"> The title of Babbit’s paper wasn’t his idea, but it conveniently sums up his big points that compares the complexity in modern music to the complexity of scientific papers.</w:t>
      </w:r>
    </w:p>
  </w:footnote>
  <w:footnote w:id="1">
    <w:p w:rsidR="00447810" w:rsidRPr="00BE2874" w:rsidRDefault="00447810">
      <w:pPr>
        <w:pStyle w:val="FootnoteText"/>
      </w:pPr>
      <w:r>
        <w:rPr>
          <w:rStyle w:val="FootnoteReference"/>
        </w:rPr>
        <w:footnoteRef/>
      </w:r>
      <w:r>
        <w:t xml:space="preserve"> In his manifesto “Music as Gradual Process,” Reich lays out the importance of hearing gradually-changing processes in his music, in contrast to the free expression of improvised music popular among his New York peers.  Reich’s music gained wider popularity when he ceased to be as dogmatic about the processes in his music, especially in </w:t>
      </w:r>
      <w:r>
        <w:rPr>
          <w:i/>
        </w:rPr>
        <w:t>Music for 18 Musicians</w:t>
      </w:r>
      <w:r>
        <w:t>.</w:t>
      </w:r>
    </w:p>
  </w:footnote>
  <w:footnote w:id="2">
    <w:p w:rsidR="00447810" w:rsidRPr="004F7AB2" w:rsidRDefault="00447810">
      <w:pPr>
        <w:pStyle w:val="FootnoteText"/>
      </w:pPr>
      <w:r>
        <w:rPr>
          <w:rStyle w:val="FootnoteReference"/>
        </w:rPr>
        <w:footnoteRef/>
      </w:r>
      <w:r>
        <w:t xml:space="preserve"> Roger Scruton, </w:t>
      </w:r>
      <w:r>
        <w:rPr>
          <w:i/>
        </w:rPr>
        <w:t>The Aesthetics of Music</w:t>
      </w:r>
      <w:r>
        <w:t>, Oxford: Clarendon Press, 1997.</w:t>
      </w:r>
    </w:p>
  </w:footnote>
  <w:footnote w:id="3">
    <w:p w:rsidR="00447810" w:rsidRDefault="00447810">
      <w:pPr>
        <w:pStyle w:val="FootnoteText"/>
      </w:pPr>
      <w:r>
        <w:rPr>
          <w:rStyle w:val="FootnoteReference"/>
        </w:rPr>
        <w:footnoteRef/>
      </w:r>
      <w:r>
        <w:t xml:space="preserve"> Stravinsky famously questioned music’s ability to express any meaning in his 1935 autobiography.</w:t>
      </w:r>
    </w:p>
  </w:footnote>
  <w:footnote w:id="4">
    <w:p w:rsidR="00447810" w:rsidRDefault="00447810">
      <w:pPr>
        <w:pStyle w:val="FootnoteText"/>
      </w:pPr>
      <w:r>
        <w:rPr>
          <w:rStyle w:val="FootnoteReference"/>
        </w:rPr>
        <w:footnoteRef/>
      </w:r>
      <w:r>
        <w:t xml:space="preserve"> Thanks to Ivan Hewett for suggesting this particular example for a thought experiment.  I have expanded on his original take.  Leonard Bernstein’s Young Person’s Concert on musical meaning also provided inspiration.</w:t>
      </w:r>
    </w:p>
  </w:footnote>
  <w:footnote w:id="5">
    <w:p w:rsidR="00447810" w:rsidRPr="00AC38AC" w:rsidRDefault="00447810">
      <w:pPr>
        <w:pStyle w:val="FootnoteText"/>
      </w:pPr>
      <w:r>
        <w:rPr>
          <w:rStyle w:val="FootnoteReference"/>
        </w:rPr>
        <w:footnoteRef/>
      </w:r>
      <w:r>
        <w:t xml:space="preserve"> </w:t>
      </w:r>
      <w:r>
        <w:rPr>
          <w:i/>
        </w:rPr>
        <w:t>City Noir</w:t>
      </w:r>
      <w:r>
        <w:t xml:space="preserve"> Performance note, </w:t>
      </w:r>
      <w:r w:rsidRPr="00AC38AC">
        <w:t>http://www.earbox.com/W-citynoir.html</w:t>
      </w:r>
      <w:r>
        <w:t>.</w:t>
      </w:r>
    </w:p>
  </w:footnote>
  <w:footnote w:id="6">
    <w:p w:rsidR="00447810" w:rsidRPr="00433E1A" w:rsidRDefault="00447810">
      <w:pPr>
        <w:pStyle w:val="FootnoteText"/>
      </w:pPr>
      <w:r>
        <w:rPr>
          <w:rStyle w:val="FootnoteReference"/>
        </w:rPr>
        <w:footnoteRef/>
      </w:r>
      <w:r>
        <w:t xml:space="preserve"> Laura-Lee Balkwill and William Forde Thompson, “A Cross-Cultural Investigation of Emotion in Music: Psychophysical and Cultural Cues,” </w:t>
      </w:r>
      <w:r>
        <w:rPr>
          <w:i/>
        </w:rPr>
        <w:t>Music Perception</w:t>
      </w:r>
      <w:r>
        <w:t>, vol. 17, no. 1, Fall 1999, pp. 43-64.C</w:t>
      </w:r>
    </w:p>
  </w:footnote>
  <w:footnote w:id="7">
    <w:p w:rsidR="00447810" w:rsidRPr="00FF7C76" w:rsidRDefault="00447810">
      <w:pPr>
        <w:pStyle w:val="FootnoteText"/>
      </w:pPr>
      <w:r>
        <w:rPr>
          <w:rStyle w:val="FootnoteReference"/>
        </w:rPr>
        <w:footnoteRef/>
      </w:r>
      <w:r>
        <w:t xml:space="preserve"> Thomas Fritz, et. al, “Universal Recognition of Three Basic Emotions in Music,” </w:t>
      </w:r>
      <w:r>
        <w:rPr>
          <w:i/>
        </w:rPr>
        <w:t>Current Biology</w:t>
      </w:r>
      <w:r>
        <w:t>, no. 19, April 14, 2009, pp. 1-4.</w:t>
      </w:r>
    </w:p>
  </w:footnote>
  <w:footnote w:id="8">
    <w:p w:rsidR="00447810" w:rsidRPr="00986EE0" w:rsidRDefault="00447810">
      <w:pPr>
        <w:pStyle w:val="FootnoteText"/>
      </w:pPr>
      <w:r>
        <w:rPr>
          <w:rStyle w:val="FootnoteReference"/>
        </w:rPr>
        <w:footnoteRef/>
      </w:r>
      <w:r>
        <w:t xml:space="preserve"> Alex Ross, “Chaconna, Lamento, Walking Blues: Bass lines of music history,” from </w:t>
      </w:r>
      <w:r>
        <w:rPr>
          <w:i/>
        </w:rPr>
        <w:t>Listen to This</w:t>
      </w:r>
      <w:r>
        <w:t>, London: HarperCollins, 2010.</w:t>
      </w:r>
    </w:p>
  </w:footnote>
  <w:footnote w:id="9">
    <w:p w:rsidR="00447810" w:rsidRPr="006106B8" w:rsidRDefault="00447810">
      <w:pPr>
        <w:pStyle w:val="FootnoteText"/>
      </w:pPr>
      <w:r>
        <w:rPr>
          <w:rStyle w:val="FootnoteReference"/>
        </w:rPr>
        <w:footnoteRef/>
      </w:r>
      <w:r>
        <w:t xml:space="preserve"> Peter Kivy, </w:t>
      </w:r>
      <w:r>
        <w:rPr>
          <w:i/>
        </w:rPr>
        <w:t>The Corded Shell</w:t>
      </w:r>
      <w:r>
        <w:t>, Princeton, NJ: Princeton University Press, 1980.</w:t>
      </w:r>
    </w:p>
  </w:footnote>
  <w:footnote w:id="10">
    <w:p w:rsidR="00447810" w:rsidRPr="00AF4A28" w:rsidRDefault="00447810">
      <w:pPr>
        <w:pStyle w:val="FootnoteText"/>
      </w:pPr>
      <w:r>
        <w:rPr>
          <w:rStyle w:val="FootnoteReference"/>
        </w:rPr>
        <w:footnoteRef/>
      </w:r>
      <w:r>
        <w:t xml:space="preserve"> Scruton, </w:t>
      </w:r>
      <w:r>
        <w:rPr>
          <w:i/>
        </w:rPr>
        <w:t>Aesthetics</w:t>
      </w:r>
      <w:r>
        <w:t>, p. 153.</w:t>
      </w:r>
    </w:p>
  </w:footnote>
  <w:footnote w:id="11">
    <w:p w:rsidR="00447810" w:rsidRPr="009723F2" w:rsidRDefault="00447810">
      <w:pPr>
        <w:pStyle w:val="FootnoteText"/>
      </w:pPr>
      <w:r>
        <w:rPr>
          <w:rStyle w:val="FootnoteReference"/>
        </w:rPr>
        <w:footnoteRef/>
      </w:r>
      <w:r>
        <w:t xml:space="preserve"> Two of Ross’s examples in “Chaconna” are Dido’s lament from Purcell’s opera </w:t>
      </w:r>
      <w:r>
        <w:rPr>
          <w:i/>
        </w:rPr>
        <w:t>Dido and Aeneas</w:t>
      </w:r>
      <w:r>
        <w:t xml:space="preserve"> and Jimmy Page’s guitar lead from Led Zeppelin’s “Stairway to Heaven.”</w:t>
      </w:r>
    </w:p>
  </w:footnote>
  <w:footnote w:id="12">
    <w:p w:rsidR="00447810" w:rsidRPr="00E53679" w:rsidRDefault="00447810">
      <w:pPr>
        <w:pStyle w:val="FootnoteText"/>
      </w:pPr>
      <w:r>
        <w:rPr>
          <w:rStyle w:val="FootnoteReference"/>
        </w:rPr>
        <w:footnoteRef/>
      </w:r>
      <w:r>
        <w:t xml:space="preserve"> Leonard Bernstein, “The Dangers and Delights of Ambiguity,” from </w:t>
      </w:r>
      <w:r>
        <w:rPr>
          <w:i/>
        </w:rPr>
        <w:t>The Unanswered Question: Six Talks at Harvard</w:t>
      </w:r>
      <w:r>
        <w:t>, Cambridge, MA: Harvard University Press, 1976.</w:t>
      </w:r>
    </w:p>
  </w:footnote>
  <w:footnote w:id="13">
    <w:p w:rsidR="00447810" w:rsidRDefault="00447810">
      <w:pPr>
        <w:pStyle w:val="FootnoteText"/>
      </w:pPr>
      <w:r>
        <w:rPr>
          <w:rStyle w:val="FootnoteReference"/>
        </w:rPr>
        <w:footnoteRef/>
      </w:r>
      <w:r>
        <w:t xml:space="preserve"> Ibid. 209-210.</w:t>
      </w:r>
    </w:p>
  </w:footnote>
  <w:footnote w:id="14">
    <w:p w:rsidR="00447810" w:rsidRPr="0083129D" w:rsidRDefault="00447810">
      <w:pPr>
        <w:pStyle w:val="FootnoteText"/>
      </w:pPr>
      <w:r>
        <w:rPr>
          <w:rStyle w:val="FootnoteReference"/>
        </w:rPr>
        <w:footnoteRef/>
      </w:r>
      <w:r>
        <w:t xml:space="preserve"> This computational aspect of music is discussed in Fred Lehrdal and Ray Jackendoff’s </w:t>
      </w:r>
      <w:r>
        <w:rPr>
          <w:i/>
        </w:rPr>
        <w:t>A Generative Theory of Tonal Music</w:t>
      </w:r>
      <w:r>
        <w:t>, Cambridge, MA: MIT Press, 1983.</w:t>
      </w:r>
    </w:p>
  </w:footnote>
  <w:footnote w:id="15">
    <w:p w:rsidR="00447810" w:rsidRPr="002858E7" w:rsidRDefault="00447810">
      <w:pPr>
        <w:pStyle w:val="FootnoteText"/>
      </w:pPr>
      <w:r>
        <w:rPr>
          <w:rStyle w:val="FootnoteReference"/>
        </w:rPr>
        <w:footnoteRef/>
      </w:r>
      <w:r>
        <w:t xml:space="preserve"> William Empson, </w:t>
      </w:r>
      <w:r>
        <w:rPr>
          <w:i/>
        </w:rPr>
        <w:t>Seven Types of Ambiguity</w:t>
      </w:r>
      <w:r>
        <w:t>, London: 1930.</w:t>
      </w:r>
    </w:p>
  </w:footnote>
  <w:footnote w:id="16">
    <w:p w:rsidR="00447810" w:rsidRDefault="00447810">
      <w:pPr>
        <w:pStyle w:val="FootnoteText"/>
      </w:pPr>
      <w:r>
        <w:rPr>
          <w:rStyle w:val="FootnoteReference"/>
        </w:rPr>
        <w:footnoteRef/>
      </w:r>
      <w:r>
        <w:t xml:space="preserve"> Ibid, 186-189.</w:t>
      </w:r>
    </w:p>
  </w:footnote>
  <w:footnote w:id="17">
    <w:p w:rsidR="00447810" w:rsidRPr="005E3239" w:rsidRDefault="00447810">
      <w:pPr>
        <w:pStyle w:val="FootnoteText"/>
      </w:pPr>
      <w:r>
        <w:rPr>
          <w:rStyle w:val="FootnoteReference"/>
        </w:rPr>
        <w:footnoteRef/>
      </w:r>
      <w:r>
        <w:t xml:space="preserve"> A good example comes from reviews of the American rock band Wilco, and their album </w:t>
      </w:r>
      <w:r>
        <w:rPr>
          <w:i/>
        </w:rPr>
        <w:t>A Ghost is Born</w:t>
      </w:r>
      <w:r>
        <w:t xml:space="preserve">.  See </w:t>
      </w:r>
      <w:r w:rsidRPr="005E3239">
        <w:t>http://allmusic.com/album/a-ghost-is-born-r683455/review</w:t>
      </w:r>
      <w:r>
        <w:t xml:space="preserve"> and user comments on the Amazon.com page for the album.</w:t>
      </w:r>
    </w:p>
  </w:footnote>
</w:footnotes>
</file>

<file path=word/header1.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47810" w:rsidRDefault="00447810" w:rsidP="00D97128">
    <w:pPr>
      <w:pStyle w:val="Header"/>
    </w:pPr>
    <w:r>
      <w:t>Kevin Laskey</w:t>
    </w:r>
    <w:r>
      <w:tab/>
      <w:t>Aesthetics &amp; Criticism</w:t>
    </w:r>
    <w:r>
      <w:tab/>
      <w:t>Iva Hewett</w:t>
    </w:r>
  </w:p>
  <w:p w:rsidR="00447810" w:rsidRDefault="00447810">
    <w:pPr>
      <w:pStyle w:val="Heade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doNotTrackMoves/>
  <w:defaultTabStop w:val="720"/>
  <w:drawingGridHorizontalSpacing w:val="360"/>
  <w:drawingGridVerticalSpacing w:val="360"/>
  <w:displayHorizontalDrawingGridEvery w:val="0"/>
  <w:displayVerticalDrawingGridEvery w:val="0"/>
  <w:characterSpacingControl w:val="doNotCompress"/>
  <w:savePreviewPicture/>
  <w:compat>
    <w:doNotAutofitConstrainedTables/>
    <w:splitPgBreakAndParaMark/>
    <w:doNotVertAlignCellWithSp/>
    <w:doNotBreakConstrainedForcedTable/>
    <w:useAnsiKerningPairs/>
    <w:cachedColBalance/>
  </w:compat>
  <w:rsids>
    <w:rsidRoot w:val="004868F8"/>
    <w:rsid w:val="00004211"/>
    <w:rsid w:val="00011122"/>
    <w:rsid w:val="00033B2E"/>
    <w:rsid w:val="0006760A"/>
    <w:rsid w:val="00070A35"/>
    <w:rsid w:val="00082B3A"/>
    <w:rsid w:val="000837C8"/>
    <w:rsid w:val="000A1608"/>
    <w:rsid w:val="000A2F44"/>
    <w:rsid w:val="000A5D46"/>
    <w:rsid w:val="000A62EA"/>
    <w:rsid w:val="000B1E8B"/>
    <w:rsid w:val="000C2E8E"/>
    <w:rsid w:val="000C796D"/>
    <w:rsid w:val="001A4766"/>
    <w:rsid w:val="0023265E"/>
    <w:rsid w:val="002858E7"/>
    <w:rsid w:val="002A376E"/>
    <w:rsid w:val="002D4DFC"/>
    <w:rsid w:val="002D74B7"/>
    <w:rsid w:val="002F4566"/>
    <w:rsid w:val="002F60B8"/>
    <w:rsid w:val="00361413"/>
    <w:rsid w:val="00393397"/>
    <w:rsid w:val="003976EB"/>
    <w:rsid w:val="003A2526"/>
    <w:rsid w:val="003D6C91"/>
    <w:rsid w:val="00401161"/>
    <w:rsid w:val="00433E1A"/>
    <w:rsid w:val="00445B8E"/>
    <w:rsid w:val="00447810"/>
    <w:rsid w:val="0046247B"/>
    <w:rsid w:val="0047124E"/>
    <w:rsid w:val="004712DC"/>
    <w:rsid w:val="00473399"/>
    <w:rsid w:val="004868F8"/>
    <w:rsid w:val="004B4B68"/>
    <w:rsid w:val="004C05FD"/>
    <w:rsid w:val="004F35E7"/>
    <w:rsid w:val="004F6CC2"/>
    <w:rsid w:val="004F7665"/>
    <w:rsid w:val="004F7AB2"/>
    <w:rsid w:val="00525DBF"/>
    <w:rsid w:val="00526EE4"/>
    <w:rsid w:val="00583686"/>
    <w:rsid w:val="005902C1"/>
    <w:rsid w:val="00596AA7"/>
    <w:rsid w:val="005B3BCB"/>
    <w:rsid w:val="005E3239"/>
    <w:rsid w:val="006106B8"/>
    <w:rsid w:val="006209D8"/>
    <w:rsid w:val="0062307E"/>
    <w:rsid w:val="00660C34"/>
    <w:rsid w:val="0068021B"/>
    <w:rsid w:val="00683743"/>
    <w:rsid w:val="006E6ABC"/>
    <w:rsid w:val="00747C75"/>
    <w:rsid w:val="007517B2"/>
    <w:rsid w:val="007645EE"/>
    <w:rsid w:val="00785862"/>
    <w:rsid w:val="00795651"/>
    <w:rsid w:val="007A354B"/>
    <w:rsid w:val="007A6334"/>
    <w:rsid w:val="0083129D"/>
    <w:rsid w:val="0084150D"/>
    <w:rsid w:val="008434B3"/>
    <w:rsid w:val="00846FAF"/>
    <w:rsid w:val="0084798F"/>
    <w:rsid w:val="008804A7"/>
    <w:rsid w:val="008B1A19"/>
    <w:rsid w:val="008B4715"/>
    <w:rsid w:val="00950941"/>
    <w:rsid w:val="009577D0"/>
    <w:rsid w:val="009723F2"/>
    <w:rsid w:val="009748CC"/>
    <w:rsid w:val="00986EE0"/>
    <w:rsid w:val="009B2ECD"/>
    <w:rsid w:val="00A5529A"/>
    <w:rsid w:val="00A74CB0"/>
    <w:rsid w:val="00AC1934"/>
    <w:rsid w:val="00AC38AC"/>
    <w:rsid w:val="00AF4A28"/>
    <w:rsid w:val="00B02E5E"/>
    <w:rsid w:val="00B04D6A"/>
    <w:rsid w:val="00B364B5"/>
    <w:rsid w:val="00B412E4"/>
    <w:rsid w:val="00B46EF1"/>
    <w:rsid w:val="00B9398F"/>
    <w:rsid w:val="00BA26FF"/>
    <w:rsid w:val="00BA68A6"/>
    <w:rsid w:val="00BB7A23"/>
    <w:rsid w:val="00BC0CB8"/>
    <w:rsid w:val="00BE2874"/>
    <w:rsid w:val="00BE40A1"/>
    <w:rsid w:val="00C41AC1"/>
    <w:rsid w:val="00C621D1"/>
    <w:rsid w:val="00C704EC"/>
    <w:rsid w:val="00CA0B7A"/>
    <w:rsid w:val="00CB4524"/>
    <w:rsid w:val="00CD1EC3"/>
    <w:rsid w:val="00D508C6"/>
    <w:rsid w:val="00D56FEA"/>
    <w:rsid w:val="00D8602B"/>
    <w:rsid w:val="00D97128"/>
    <w:rsid w:val="00DC1104"/>
    <w:rsid w:val="00E17B6C"/>
    <w:rsid w:val="00E211F6"/>
    <w:rsid w:val="00E53679"/>
    <w:rsid w:val="00E757FC"/>
    <w:rsid w:val="00E8075D"/>
    <w:rsid w:val="00F12F8F"/>
    <w:rsid w:val="00F965B6"/>
    <w:rsid w:val="00FB06A1"/>
    <w:rsid w:val="00FF7C76"/>
  </w:rsids>
  <m:mathPr>
    <m:mathFont m:val="CronosMM"/>
    <m:brkBin m:val="before"/>
    <m:brkBinSub m:val="--"/>
    <m:smallFrac m:val="off"/>
    <m:dispDef m:val="off"/>
    <m:lMargin m:val="0"/>
    <m:rMargin m:val="0"/>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en-US" w:eastAsia="en-US" w:bidi="ar-SA"/>
      </w:rPr>
    </w:rPrDefault>
    <w:pPrDefault/>
  </w:docDefaults>
  <w:latentStyles w:defLockedState="0" w:defUIPriority="0" w:defSemiHidden="0" w:defUnhideWhenUsed="0" w:defQFormat="0" w:count="276"/>
  <w:style w:type="paragraph" w:default="1" w:styleId="Normal">
    <w:name w:val="Normal"/>
    <w:qFormat/>
    <w:rsid w:val="008C609C"/>
    <w:rPr>
      <w:rFonts w:ascii="Times New Roman" w:hAnsi="Times New Roman"/>
    </w:rPr>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paragraph" w:styleId="FootnoteText">
    <w:name w:val="footnote text"/>
    <w:basedOn w:val="Normal"/>
    <w:link w:val="FootnoteTextChar"/>
    <w:uiPriority w:val="99"/>
    <w:unhideWhenUsed/>
    <w:rsid w:val="00D56FEA"/>
  </w:style>
  <w:style w:type="character" w:customStyle="1" w:styleId="FootnoteTextChar">
    <w:name w:val="Footnote Text Char"/>
    <w:basedOn w:val="DefaultParagraphFont"/>
    <w:link w:val="FootnoteText"/>
    <w:uiPriority w:val="99"/>
    <w:rsid w:val="00D56FEA"/>
    <w:rPr>
      <w:rFonts w:ascii="Times New Roman" w:hAnsi="Times New Roman"/>
    </w:rPr>
  </w:style>
  <w:style w:type="character" w:styleId="FootnoteReference">
    <w:name w:val="footnote reference"/>
    <w:basedOn w:val="DefaultParagraphFont"/>
    <w:uiPriority w:val="99"/>
    <w:semiHidden/>
    <w:unhideWhenUsed/>
    <w:rsid w:val="00D56FEA"/>
    <w:rPr>
      <w:vertAlign w:val="superscript"/>
    </w:rPr>
  </w:style>
  <w:style w:type="character" w:styleId="Hyperlink">
    <w:name w:val="Hyperlink"/>
    <w:basedOn w:val="DefaultParagraphFont"/>
    <w:uiPriority w:val="99"/>
    <w:semiHidden/>
    <w:unhideWhenUsed/>
    <w:rsid w:val="005E3239"/>
    <w:rPr>
      <w:color w:val="0000FF" w:themeColor="hyperlink"/>
      <w:u w:val="single"/>
    </w:rPr>
  </w:style>
  <w:style w:type="paragraph" w:styleId="Footer">
    <w:name w:val="footer"/>
    <w:basedOn w:val="Normal"/>
    <w:link w:val="FooterChar"/>
    <w:rsid w:val="00D97128"/>
    <w:pPr>
      <w:tabs>
        <w:tab w:val="center" w:pos="4320"/>
        <w:tab w:val="right" w:pos="8640"/>
      </w:tabs>
    </w:pPr>
  </w:style>
  <w:style w:type="character" w:customStyle="1" w:styleId="FooterChar">
    <w:name w:val="Footer Char"/>
    <w:basedOn w:val="DefaultParagraphFont"/>
    <w:link w:val="Footer"/>
    <w:rsid w:val="00D97128"/>
    <w:rPr>
      <w:rFonts w:ascii="Times New Roman" w:hAnsi="Times New Roman"/>
    </w:rPr>
  </w:style>
  <w:style w:type="character" w:styleId="PageNumber">
    <w:name w:val="page number"/>
    <w:basedOn w:val="DefaultParagraphFont"/>
    <w:rsid w:val="00D97128"/>
  </w:style>
  <w:style w:type="paragraph" w:styleId="Header">
    <w:name w:val="header"/>
    <w:basedOn w:val="Normal"/>
    <w:link w:val="HeaderChar"/>
    <w:rsid w:val="00D97128"/>
    <w:pPr>
      <w:tabs>
        <w:tab w:val="center" w:pos="4320"/>
        <w:tab w:val="right" w:pos="8640"/>
      </w:tabs>
    </w:pPr>
  </w:style>
  <w:style w:type="character" w:customStyle="1" w:styleId="HeaderChar">
    <w:name w:val="Header Char"/>
    <w:basedOn w:val="DefaultParagraphFont"/>
    <w:link w:val="Header"/>
    <w:rsid w:val="00D97128"/>
    <w:rPr>
      <w:rFonts w:ascii="Times New Roman" w:hAnsi="Times New Roman"/>
    </w:r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4" Type="http://schemas.openxmlformats.org/officeDocument/2006/relationships/footnotes" Target="footnotes.xml"/><Relationship Id="rId5" Type="http://schemas.openxmlformats.org/officeDocument/2006/relationships/footer" Target="footer1.xml"/><Relationship Id="rId7" Type="http://schemas.openxmlformats.org/officeDocument/2006/relationships/header" Target="header1.xml"/><Relationship Id="rId1" Type="http://schemas.openxmlformats.org/officeDocument/2006/relationships/styles" Target="styles.xml"/><Relationship Id="rId2" Type="http://schemas.openxmlformats.org/officeDocument/2006/relationships/settings" Target="settings.xml"/><Relationship Id="rId9" Type="http://schemas.openxmlformats.org/officeDocument/2006/relationships/theme" Target="theme/theme1.xml"/><Relationship Id="rId3" Type="http://schemas.openxmlformats.org/officeDocument/2006/relationships/webSettings" Target="webSettings.xml"/><Relationship Id="rId6"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622</TotalTime>
  <Pages>14</Pages>
  <Words>3397</Words>
  <Characters>19365</Characters>
  <Application>Microsoft Macintosh Word</Application>
  <DocSecurity>0</DocSecurity>
  <Lines>161</Lines>
  <Paragraphs>38</Paragraphs>
  <ScaleCrop>false</ScaleCrop>
  <Company>Princeton University</Company>
  <LinksUpToDate>false</LinksUpToDate>
  <CharactersWithSpaces>23781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Kevin Laskey</dc:creator>
  <cp:keywords/>
  <cp:lastModifiedBy>Kevin Laskey</cp:lastModifiedBy>
  <cp:revision>74</cp:revision>
  <dcterms:created xsi:type="dcterms:W3CDTF">2010-12-07T16:05:00Z</dcterms:created>
  <dcterms:modified xsi:type="dcterms:W3CDTF">2010-12-10T11:28:00Z</dcterms:modified>
</cp:coreProperties>
</file>